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71"/>
        </w:tabs>
        <w:spacing w:after="160" w:before="360" w:lineRule="auto"/>
        <w:rPr>
          <w:rFonts w:ascii="SanukOT-Regular" w:cs="SanukOT-Regular" w:eastAsia="SanukOT-Regular" w:hAnsi="SanukOT-Regular"/>
          <w:b w:val="1"/>
          <w:bCs w:val="1"/>
          <w:sz w:val="28"/>
          <w:szCs w:val="28"/>
        </w:rPr>
      </w:pPr>
      <w:r w:rsidDel="00000000" w:rsidR="00000000" w:rsidRPr="00000000">
        <w:rPr>
          <w:rFonts w:ascii="SanukOT-Regular" w:cs="SanukOT-Regular" w:eastAsia="SanukOT-Regular" w:hAnsi="SanukOT-Regular"/>
          <w:b w:val="1"/>
          <w:bCs w:val="1"/>
          <w:sz w:val="28"/>
          <w:szCs w:val="28"/>
          <w:rtl w:val="0"/>
        </w:rPr>
        <w:t xml:space="preserve">Programm MV | April 2026 </w:t>
      </w:r>
    </w:p>
    <w:tbl>
      <w:tblPr>
        <w:tblStyle w:val="Table1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8220"/>
        <w:tblGridChange w:id="0">
          <w:tblGrid>
            <w:gridCol w:w="1215"/>
            <w:gridCol w:w="8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Begrüssung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SanukOT-Regular" w:cs="SanukOT-Regular" w:eastAsia="SanukOT-Regular" w:hAnsi="SanukOT-Regula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nukOT-Regular" w:cs="SanukOT-Regular" w:eastAsia="SanukOT-Regular" w:hAnsi="SanukOT-Regular"/>
                <w:b w:val="1"/>
                <w:bCs w:val="1"/>
                <w:sz w:val="24"/>
                <w:szCs w:val="24"/>
                <w:rtl w:val="0"/>
              </w:rPr>
              <w:t xml:space="preserve">Rückblick Gross- und Regierungsratswahlen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Debatte: Tierhaltung &amp; Zootiere  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Tierpark Dählhölzli – Strategie &amp; Entwicklung 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mit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Friederike von Houwald,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Direktorin Tierpark Dählhölzli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Diskussion Entwurf Positionspapier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mit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AG Tier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SanukOT-Regular" w:cs="SanukOT-Regular" w:eastAsia="SanukOT-Regular" w:hAnsi="SanukOT-Regula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nukOT-Regular" w:cs="SanukOT-Regular" w:eastAsia="SanukOT-Regular" w:hAnsi="SanukOT-Regular"/>
                <w:b w:val="1"/>
                <w:bCs w:val="1"/>
                <w:sz w:val="24"/>
                <w:szCs w:val="24"/>
                <w:rtl w:val="0"/>
              </w:rPr>
              <w:t xml:space="preserve">Pause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Parolenfassung Abstimmungen 14. Juni 2026 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Zonenplan Dählhölzli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Monbijou-Areal von Energie Wasser Bern (ewb): Kauf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Bernisches Historisches Museum, Sanierung; Beitrag Stadt Bern an Baukredit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Volksschule Steigerhubel Neubau Provisorium II, Modulbau, Projektierungs- und Baukredit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Überbauungsordnung Stöckackerstrasse 33 – Ladenwandweg (ewb/BLS-Areal) 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Quartierküche für die städtische Tagesbetreuung für Schulkinder: Baukredit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SanukOT-Regular" w:cs="SanukOT-Regular" w:eastAsia="SanukOT-Regular" w:hAnsi="SanukOT-Regula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nukOT-Regular" w:cs="SanukOT-Regular" w:eastAsia="SanukOT-Regular" w:hAnsi="SanukOT-Regular"/>
                <w:b w:val="1"/>
                <w:bCs w:val="1"/>
                <w:sz w:val="24"/>
                <w:szCs w:val="24"/>
                <w:rtl w:val="0"/>
              </w:rPr>
              <w:t xml:space="preserve">Rechnung 2025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Gesamterneuerungswahlen  </w:t>
              <w:br w:type="textWrapping"/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Ausschuss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Geschäftsleitung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Kantonale Delegierte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Nationale Delegierte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Kassier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20:45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Ausblick &amp; Varia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20:55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Apéro 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SanukOT-Regular" w:cs="SanukOT-Regular" w:eastAsia="SanukOT-Regular" w:hAnsi="SanukOT-Regular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anukOT-Regula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dFEdZlsC+6OIphWrmGL4buPTA==">CgMxLjA4AHIhMXBhU19JeFBPLVZQeDVmaG0ycElhb2lfQ1dybGF0dlds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